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0C" w:rsidRDefault="00A86F9C">
      <w:pPr>
        <w:pStyle w:val="Header"/>
        <w:tabs>
          <w:tab w:val="clear" w:pos="9072"/>
          <w:tab w:val="right" w:pos="9000"/>
        </w:tabs>
        <w:spacing w:line="264" w:lineRule="auto"/>
        <w:jc w:val="both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sz w:val="24"/>
          <w:lang w:eastAsia="zh-CN"/>
        </w:rPr>
        <w:t>3GPP TSG RAN WG1 #11</w:t>
      </w:r>
      <w:r>
        <w:rPr>
          <w:rFonts w:ascii="Times New Roman" w:eastAsia="SimSun" w:hAnsi="Times New Roman"/>
          <w:sz w:val="24"/>
          <w:lang w:eastAsia="zh-CN"/>
        </w:rPr>
        <w:t>5</w:t>
      </w:r>
      <w:r>
        <w:rPr>
          <w:rFonts w:ascii="Times New Roman" w:eastAsia="SimSun" w:hAnsi="Times New Roman"/>
          <w:sz w:val="24"/>
          <w:lang w:eastAsia="zh-CN"/>
        </w:rPr>
        <w:tab/>
      </w:r>
      <w:r>
        <w:rPr>
          <w:rFonts w:ascii="Times New Roman" w:eastAsia="SimSun" w:hAnsi="Times New Roman"/>
          <w:sz w:val="24"/>
          <w:lang w:eastAsia="zh-CN"/>
        </w:rPr>
        <w:tab/>
        <w:t xml:space="preserve">  </w:t>
      </w:r>
      <w:r w:rsidRPr="00A86F9C">
        <w:rPr>
          <w:rFonts w:ascii="Times New Roman" w:eastAsia="SimSun" w:hAnsi="Times New Roman"/>
          <w:sz w:val="24"/>
          <w:lang w:eastAsia="zh-CN"/>
        </w:rPr>
        <w:t>R1-2311279</w:t>
      </w:r>
    </w:p>
    <w:p w:rsidR="00777C0C" w:rsidRDefault="00A86F9C">
      <w:pPr>
        <w:rPr>
          <w:rFonts w:eastAsia="Batang"/>
          <w:sz w:val="24"/>
          <w:szCs w:val="22"/>
        </w:rPr>
      </w:pPr>
      <w:r>
        <w:rPr>
          <w:rFonts w:eastAsia="MS Mincho"/>
          <w:b/>
          <w:bCs/>
          <w:sz w:val="24"/>
          <w:lang w:eastAsia="ja-JP"/>
        </w:rPr>
        <w:t>Chicago, USA, November 13</w:t>
      </w:r>
      <w:r>
        <w:rPr>
          <w:rFonts w:eastAsia="Malgun Gothic"/>
          <w:b/>
          <w:bCs/>
          <w:sz w:val="24"/>
          <w:vertAlign w:val="superscript"/>
          <w:lang w:eastAsia="ko-KR"/>
        </w:rPr>
        <w:t>th</w:t>
      </w:r>
      <w:r>
        <w:rPr>
          <w:rFonts w:eastAsia="MS Mincho"/>
          <w:b/>
          <w:bCs/>
          <w:sz w:val="24"/>
          <w:lang w:eastAsia="ja-JP"/>
        </w:rPr>
        <w:t xml:space="preserve"> </w:t>
      </w:r>
      <w:r>
        <w:rPr>
          <w:b/>
          <w:bCs/>
          <w:sz w:val="24"/>
        </w:rPr>
        <w:t>– November</w:t>
      </w:r>
      <w:r>
        <w:rPr>
          <w:rFonts w:eastAsia="MS Mincho"/>
          <w:b/>
          <w:bCs/>
          <w:sz w:val="24"/>
          <w:lang w:eastAsia="ja-JP"/>
        </w:rPr>
        <w:t xml:space="preserve"> 17</w:t>
      </w:r>
      <w:r>
        <w:rPr>
          <w:rFonts w:eastAsia="MS Mincho"/>
          <w:b/>
          <w:bCs/>
          <w:sz w:val="24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lang w:eastAsia="ja-JP"/>
        </w:rPr>
        <w:t>, 2023</w:t>
      </w:r>
    </w:p>
    <w:p w:rsidR="00777C0C" w:rsidRDefault="00777C0C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777C0C" w:rsidRDefault="00A86F9C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777C0C" w:rsidRDefault="00A86F9C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for multi-carrier enhancement</w:t>
      </w:r>
    </w:p>
    <w:p w:rsidR="00777C0C" w:rsidRDefault="00A86F9C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  <w:t>8</w:t>
      </w:r>
      <w:r>
        <w:rPr>
          <w:rFonts w:ascii="Times New Roman" w:eastAsia="SimSun" w:hAnsi="Times New Roman"/>
          <w:szCs w:val="20"/>
          <w:lang w:eastAsia="zh-CN"/>
        </w:rPr>
        <w:t>.16.12</w:t>
      </w:r>
    </w:p>
    <w:p w:rsidR="00777C0C" w:rsidRDefault="00A86F9C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777C0C" w:rsidRDefault="00777C0C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DocumentFor"/>
      <w:bookmarkStart w:id="1" w:name="Source"/>
      <w:bookmarkEnd w:id="0"/>
      <w:bookmarkEnd w:id="1"/>
    </w:p>
    <w:p w:rsidR="00777C0C" w:rsidRDefault="00A86F9C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777C0C" w:rsidRDefault="00A86F9C" w:rsidP="00A86F9C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This </w:t>
      </w:r>
      <w:r>
        <w:rPr>
          <w:rStyle w:val="apple-converted-space"/>
          <w:rFonts w:eastAsiaTheme="minorEastAsia"/>
          <w:lang w:eastAsia="zh-CN"/>
        </w:rPr>
        <w:t>contribution elaborates our views on UE features for Rel-18 multi-carrier enhancement, focusing on multi-cell scheduling with single DCI.</w:t>
      </w:r>
    </w:p>
    <w:p w:rsidR="00777C0C" w:rsidRDefault="00A86F9C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777C0C" w:rsidRDefault="00A86F9C">
      <w:pPr>
        <w:spacing w:after="120"/>
        <w:rPr>
          <w:rStyle w:val="apple-converted-space"/>
          <w:b/>
          <w:i/>
          <w:szCs w:val="20"/>
          <w:u w:val="single"/>
        </w:rPr>
      </w:pPr>
      <w:r>
        <w:rPr>
          <w:rStyle w:val="apple-converted-space"/>
          <w:b/>
          <w:i/>
          <w:szCs w:val="20"/>
          <w:u w:val="single"/>
        </w:rPr>
        <w:t>Updates of feature types in previous agreements in accordance to RAN2 guidance</w:t>
      </w:r>
    </w:p>
    <w:p w:rsidR="00777C0C" w:rsidRDefault="00A86F9C">
      <w:pPr>
        <w:tabs>
          <w:tab w:val="left" w:pos="800"/>
        </w:tabs>
        <w:spacing w:before="120" w:after="12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RAN2 sends some guidance to </w:t>
      </w:r>
      <w:r>
        <w:rPr>
          <w:rFonts w:eastAsia="MS Gothic"/>
          <w:bCs/>
          <w:iCs/>
          <w:szCs w:val="20"/>
          <w:lang w:eastAsia="ja-JP"/>
        </w:rPr>
        <w:t xml:space="preserve">RAN1 in </w:t>
      </w:r>
      <w:r w:rsidR="00777C0C">
        <w:rPr>
          <w:rFonts w:eastAsia="MS Gothic"/>
          <w:bCs/>
          <w:iCs/>
          <w:szCs w:val="20"/>
          <w:lang w:eastAsia="ja-JP"/>
        </w:rPr>
        <w:fldChar w:fldCharType="begin"/>
      </w:r>
      <w:r>
        <w:rPr>
          <w:rFonts w:eastAsia="MS Gothic"/>
          <w:bCs/>
          <w:iCs/>
          <w:szCs w:val="20"/>
          <w:lang w:eastAsia="ja-JP"/>
        </w:rPr>
        <w:instrText xml:space="preserve"> REF _Ref2019110949 \r \h </w:instrText>
      </w:r>
      <w:r w:rsidR="00777C0C">
        <w:rPr>
          <w:rFonts w:eastAsia="MS Gothic"/>
          <w:bCs/>
          <w:iCs/>
          <w:szCs w:val="20"/>
          <w:lang w:eastAsia="ja-JP"/>
        </w:rPr>
      </w:r>
      <w:r w:rsidR="00777C0C">
        <w:rPr>
          <w:rFonts w:eastAsia="MS Gothic"/>
          <w:bCs/>
          <w:iCs/>
          <w:szCs w:val="20"/>
          <w:lang w:eastAsia="ja-JP"/>
        </w:rPr>
        <w:fldChar w:fldCharType="separate"/>
      </w:r>
      <w:r>
        <w:rPr>
          <w:rFonts w:eastAsia="MS Gothic"/>
          <w:bCs/>
          <w:iCs/>
          <w:szCs w:val="20"/>
          <w:lang w:eastAsia="ja-JP"/>
        </w:rPr>
        <w:t>[2]</w:t>
      </w:r>
      <w:r w:rsidR="00777C0C">
        <w:rPr>
          <w:rFonts w:eastAsia="MS Gothic"/>
          <w:bCs/>
          <w:iCs/>
          <w:szCs w:val="20"/>
          <w:lang w:eastAsia="ja-JP"/>
        </w:rPr>
        <w:fldChar w:fldCharType="end"/>
      </w:r>
      <w:r>
        <w:rPr>
          <w:rFonts w:eastAsia="MS Gothic"/>
          <w:bCs/>
          <w:iCs/>
          <w:szCs w:val="20"/>
          <w:lang w:eastAsia="ja-JP"/>
        </w:rPr>
        <w:t xml:space="preserve"> for UE feature/capability definitions. One of the guidance rules is to “</w:t>
      </w:r>
      <w:r>
        <w:rPr>
          <w:b/>
          <w:bCs/>
          <w:color w:val="000000"/>
        </w:rPr>
        <w:t>Avoid defining capabilities with pre-requisite on a finer granularity</w:t>
      </w:r>
      <w:r>
        <w:rPr>
          <w:rFonts w:eastAsia="MS Gothic"/>
          <w:bCs/>
          <w:iCs/>
          <w:szCs w:val="20"/>
          <w:lang w:eastAsia="ja-JP"/>
        </w:rPr>
        <w:t>”. Unfort</w:t>
      </w:r>
      <w:r>
        <w:rPr>
          <w:rFonts w:eastAsia="MS Gothic"/>
          <w:bCs/>
          <w:iCs/>
          <w:szCs w:val="20"/>
          <w:lang w:eastAsia="ja-JP"/>
        </w:rPr>
        <w:t xml:space="preserve">unately the current MCE UE feature structure agreed in the past two RAN1 meetings violates this rule in that: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FG49-1 can be the prerequisite of FG 49-4a, where the granularity of FG49-1 (per BC) is finer than that of FG49-4a (per UE)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FG49-2 can be the prerequisite of FG 49-4b, where the granularity of FG49-2 (per BC) is finer than that of FG49-4b (per UE) 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One of {FG49-1, FG49-2} can be prerequisite of FG49-4c and FG49-4d, where the granularity of FG49-1/FG49-2 (per BC) is finer than </w:t>
      </w:r>
      <w:r>
        <w:rPr>
          <w:rFonts w:eastAsia="MS Gothic"/>
          <w:bCs/>
          <w:iCs/>
          <w:szCs w:val="20"/>
          <w:lang w:eastAsia="ja-JP"/>
        </w:rPr>
        <w:t xml:space="preserve">that of FG49-4c/FG49-4d (per UE).  </w:t>
      </w: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1: Change the type granularity from “per UE” to “per BC” for FG49-4a/4b/4c/4d. </w:t>
      </w:r>
    </w:p>
    <w:p w:rsidR="00777C0C" w:rsidRDefault="00A86F9C">
      <w:pPr>
        <w:tabs>
          <w:tab w:val="left" w:pos="800"/>
        </w:tabs>
        <w:spacing w:before="24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>Scheduling cell not scheduled by different cell</w:t>
      </w: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Both of the following cross-carrier scheduling cases were not discussed in Rel-18 WI phase: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 w:hanging="4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Case-1: The scheduling cell not in any of its scheduled cell set is scheduled by another cell.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 w:hanging="4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Case-2: The scheduling cell that also appears in one of its schedul</w:t>
      </w:r>
      <w:r>
        <w:rPr>
          <w:rStyle w:val="apple-converted-space"/>
          <w:szCs w:val="20"/>
          <w:lang w:eastAsia="ja-JP"/>
        </w:rPr>
        <w:t xml:space="preserve">ed cell set is scheduled by another cell. </w:t>
      </w: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The following RAN1 agreement made in maintenance phase excludes Case-2. </w:t>
      </w:r>
    </w:p>
    <w:tbl>
      <w:tblPr>
        <w:tblStyle w:val="TableGrid"/>
        <w:tblW w:w="0" w:type="auto"/>
        <w:tblLook w:val="04A0"/>
      </w:tblPr>
      <w:tblGrid>
        <w:gridCol w:w="9300"/>
      </w:tblGrid>
      <w:tr w:rsidR="00777C0C">
        <w:tc>
          <w:tcPr>
            <w:tcW w:w="9300" w:type="dxa"/>
          </w:tcPr>
          <w:p w:rsidR="00777C0C" w:rsidRDefault="00A86F9C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777C0C" w:rsidRDefault="00A86F9C">
            <w:pPr>
              <w:overflowPunct w:val="0"/>
              <w:snapToGrid w:val="0"/>
              <w:rPr>
                <w:rStyle w:val="apple-converted-space"/>
                <w:szCs w:val="20"/>
                <w:lang w:eastAsia="ja-JP"/>
              </w:rPr>
            </w:pPr>
            <w:r>
              <w:rPr>
                <w:rFonts w:eastAsia="Malgun Gothic"/>
                <w:bCs/>
                <w:lang w:eastAsia="zh-CN"/>
              </w:rPr>
              <w:t xml:space="preserve">For a serving cell included in </w:t>
            </w:r>
            <w:r>
              <w:rPr>
                <w:rFonts w:eastAsia="Malgun Gothic"/>
                <w:bCs/>
                <w:i/>
                <w:iCs/>
                <w:lang w:eastAsia="zh-CN"/>
              </w:rPr>
              <w:t>MC-DCI-SetofCells</w:t>
            </w:r>
            <w:r>
              <w:rPr>
                <w:rFonts w:eastAsia="Malgun Gothic"/>
                <w:bCs/>
                <w:lang w:eastAsia="zh-CN"/>
              </w:rPr>
              <w:t>, a UE does not expect to be configured to monitor PDCCH candidates on more than o</w:t>
            </w:r>
            <w:r>
              <w:rPr>
                <w:rFonts w:eastAsia="Malgun Gothic"/>
                <w:bCs/>
                <w:lang w:eastAsia="zh-CN"/>
              </w:rPr>
              <w:t>ne scheduling cell for detection of DCI formats scheduling the serving cell.</w:t>
            </w:r>
          </w:p>
        </w:tc>
      </w:tr>
    </w:tbl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For the Case-1, f</w:t>
      </w:r>
      <w:r>
        <w:rPr>
          <w:rStyle w:val="apple-converted-space"/>
          <w:szCs w:val="20"/>
          <w:lang w:eastAsia="ja-JP"/>
        </w:rPr>
        <w:t>irst of all, this scheduling cell cannot be a SCell, because a SCell can never be the scheduling cell and scheduled cell (by another cell) at the same time. Furt</w:t>
      </w:r>
      <w:r>
        <w:rPr>
          <w:rStyle w:val="apple-converted-space"/>
          <w:szCs w:val="20"/>
          <w:lang w:eastAsia="ja-JP"/>
        </w:rPr>
        <w:t>her, because the size of scheduled cell set is no smaller than 2, Case-1 go</w:t>
      </w:r>
      <w:r>
        <w:rPr>
          <w:rStyle w:val="apple-converted-space"/>
          <w:szCs w:val="20"/>
          <w:lang w:eastAsia="ja-JP"/>
        </w:rPr>
        <w:t>es</w:t>
      </w:r>
      <w:r>
        <w:rPr>
          <w:rStyle w:val="apple-converted-space"/>
          <w:szCs w:val="20"/>
          <w:lang w:eastAsia="ja-JP"/>
        </w:rPr>
        <w:t xml:space="preserve"> beyond Rel-17 DSS where PSCell (when scheduled by another SCell) can only schedule itself (instead of at least two scheduled cells). So, Case-1 can</w:t>
      </w:r>
      <w:r>
        <w:rPr>
          <w:rStyle w:val="apple-converted-space"/>
          <w:szCs w:val="20"/>
          <w:lang w:eastAsia="ja-JP"/>
        </w:rPr>
        <w:t>not</w:t>
      </w:r>
      <w:r>
        <w:rPr>
          <w:rStyle w:val="apple-converted-space"/>
          <w:szCs w:val="20"/>
          <w:lang w:eastAsia="ja-JP"/>
        </w:rPr>
        <w:t xml:space="preserve"> be considered as a</w:t>
      </w:r>
      <w:r>
        <w:rPr>
          <w:rStyle w:val="apple-converted-space"/>
          <w:szCs w:val="20"/>
          <w:lang w:eastAsia="ja-JP"/>
        </w:rPr>
        <w:t xml:space="preserve"> combinat</w:t>
      </w:r>
      <w:r>
        <w:rPr>
          <w:rStyle w:val="apple-converted-space"/>
          <w:szCs w:val="20"/>
          <w:lang w:eastAsia="ja-JP"/>
        </w:rPr>
        <w:t>ion</w:t>
      </w:r>
      <w:r>
        <w:rPr>
          <w:rStyle w:val="apple-converted-space"/>
          <w:szCs w:val="20"/>
          <w:lang w:eastAsia="ja-JP"/>
        </w:rPr>
        <w:t xml:space="preserve"> of Rel-17 DSS </w:t>
      </w:r>
      <w:r>
        <w:rPr>
          <w:rStyle w:val="apple-converted-space"/>
          <w:szCs w:val="20"/>
          <w:lang w:eastAsia="ja-JP"/>
        </w:rPr>
        <w:t>and Rel-18</w:t>
      </w:r>
      <w:r>
        <w:rPr>
          <w:rStyle w:val="apple-converted-space"/>
          <w:szCs w:val="20"/>
          <w:lang w:eastAsia="ja-JP"/>
        </w:rPr>
        <w:t xml:space="preserve"> multi-cell scheduling via single DCI.     </w:t>
      </w: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</w:t>
      </w:r>
      <w:r>
        <w:rPr>
          <w:rStyle w:val="apple-converted-space"/>
          <w:b/>
          <w:bCs/>
          <w:i/>
          <w:iCs/>
          <w:szCs w:val="20"/>
          <w:lang w:eastAsia="ja-JP"/>
        </w:rPr>
        <w:t>2</w:t>
      </w:r>
      <w:r>
        <w:rPr>
          <w:rStyle w:val="apple-converted-space"/>
          <w:b/>
          <w:bCs/>
          <w:i/>
          <w:iCs/>
          <w:szCs w:val="20"/>
          <w:lang w:eastAsia="ja-JP"/>
        </w:rPr>
        <w:t>: Adopt the note in FG49-1 and FG49-2 as “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[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Note: 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 xml:space="preserve">When scheduling cell is outside the set of cells, </w:t>
      </w:r>
      <w:r>
        <w:rPr>
          <w:rStyle w:val="apple-converted-space"/>
          <w:b/>
          <w:bCs/>
          <w:i/>
          <w:iCs/>
          <w:szCs w:val="20"/>
          <w:lang w:eastAsia="ja-JP"/>
        </w:rPr>
        <w:t>UE is not expected to be configured with another cell to monitor PDCCH cand</w:t>
      </w:r>
      <w:r>
        <w:rPr>
          <w:rStyle w:val="apple-converted-space"/>
          <w:b/>
          <w:bCs/>
          <w:i/>
          <w:iCs/>
          <w:szCs w:val="20"/>
          <w:lang w:eastAsia="ja-JP"/>
        </w:rPr>
        <w:t>idates for the scheduling cell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]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”.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The same note is added to FG49-1b and FG49-2b. </w:t>
      </w:r>
    </w:p>
    <w:p w:rsidR="00777C0C" w:rsidRDefault="00777C0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>FG49-1a/2a</w:t>
      </w: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FG49-1a reads </w:t>
      </w:r>
      <w:r>
        <w:rPr>
          <w:rStyle w:val="apple-converted-space"/>
          <w:szCs w:val="20"/>
          <w:lang w:eastAsia="ja-JP"/>
        </w:rPr>
        <w:t>“</w:t>
      </w:r>
      <w:r>
        <w:rPr>
          <w:rFonts w:eastAsia="MS Mincho"/>
          <w:color w:val="000000" w:themeColor="text1"/>
          <w:szCs w:val="18"/>
          <w:lang w:eastAsia="ja-JP"/>
        </w:rPr>
        <w:t xml:space="preserve">Multi-cell PDSCH scheduling by DCI format 1_3 on a scheduling cell </w:t>
      </w:r>
      <w:r>
        <w:rPr>
          <w:rFonts w:eastAsia="MS Mincho"/>
          <w:color w:val="000000" w:themeColor="text1"/>
          <w:szCs w:val="18"/>
          <w:u w:val="single"/>
          <w:lang w:eastAsia="ja-JP"/>
        </w:rPr>
        <w:t>not included in a set of cells</w:t>
      </w:r>
      <w:r>
        <w:rPr>
          <w:rFonts w:eastAsia="MS Mincho"/>
          <w:color w:val="000000" w:themeColor="text1"/>
          <w:szCs w:val="18"/>
          <w:lang w:eastAsia="ja-JP"/>
        </w:rPr>
        <w:t xml:space="preserve"> with same SCS/carrier type between scheduling cell and cells in the set</w:t>
      </w:r>
      <w:r>
        <w:rPr>
          <w:rStyle w:val="apple-converted-space"/>
          <w:szCs w:val="20"/>
          <w:lang w:eastAsia="ja-JP"/>
        </w:rPr>
        <w:t>”</w:t>
      </w:r>
      <w:r>
        <w:rPr>
          <w:rStyle w:val="apple-converted-space"/>
          <w:szCs w:val="20"/>
          <w:lang w:eastAsia="ja-JP"/>
        </w:rPr>
        <w:t>, while FG49-1 reads “</w:t>
      </w:r>
      <w:r>
        <w:rPr>
          <w:rFonts w:eastAsia="MS Mincho"/>
          <w:szCs w:val="18"/>
          <w:lang w:eastAsia="ja-JP"/>
        </w:rPr>
        <w:t xml:space="preserve">Multi-cell PDSCH scheduling by DCI format 1_3 on a scheduling cell </w:t>
      </w:r>
      <w:r>
        <w:t xml:space="preserve">with </w:t>
      </w:r>
      <w:r>
        <w:rPr>
          <w:rFonts w:eastAsia="MS Mincho"/>
          <w:szCs w:val="18"/>
          <w:lang w:eastAsia="ja-JP"/>
        </w:rPr>
        <w:t>same SCS between scheduling cell and cells in the set</w:t>
      </w:r>
      <w:r>
        <w:rPr>
          <w:rStyle w:val="apple-converted-space"/>
          <w:szCs w:val="20"/>
          <w:lang w:eastAsia="ja-JP"/>
        </w:rPr>
        <w:t>”</w:t>
      </w:r>
      <w:r>
        <w:rPr>
          <w:rStyle w:val="apple-converted-space"/>
          <w:szCs w:val="20"/>
          <w:lang w:eastAsia="ja-JP"/>
        </w:rPr>
        <w:t xml:space="preserve"> with same carrier types being enum</w:t>
      </w:r>
      <w:r>
        <w:rPr>
          <w:rStyle w:val="apple-converted-space"/>
          <w:szCs w:val="20"/>
          <w:lang w:eastAsia="ja-JP"/>
        </w:rPr>
        <w:t xml:space="preserve">erated in its component 3. So FG49-1 is super set of FG49-1a, and it could cause RAN2 signaling confusion if UE reports both. Similar issue is applicable to FG49-2a. </w:t>
      </w: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lastRenderedPageBreak/>
        <w:t xml:space="preserve">Proposal 3: Drop FG49-1a and FG49-2a.  </w:t>
      </w:r>
    </w:p>
    <w:p w:rsidR="00777C0C" w:rsidRDefault="00777C0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>FG49-3</w:t>
      </w: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The monitoring of both legacy DCI and DCI 0_3/1_3 on the same scheduling cell is not a necessary function that multi-cell scheduling by single DCI requires. So it should be a separate optional feature. The current FG49-3 proposal left from RAN1 #113/#114 m</w:t>
      </w:r>
      <w:r>
        <w:rPr>
          <w:rStyle w:val="apple-converted-space"/>
          <w:szCs w:val="20"/>
          <w:lang w:eastAsia="ja-JP"/>
        </w:rPr>
        <w:t xml:space="preserve">ay need some editorial improvement in order to build clear correspondence between the prerequisite and feature components: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The prerequisite of FG49-3 is “At least one of {49-1, [49-1a,] 49-1b} or at least one of {49-2, [49-2a,] 49-2b}”; and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The feature c</w:t>
      </w:r>
      <w:r>
        <w:rPr>
          <w:rStyle w:val="apple-converted-space"/>
          <w:szCs w:val="20"/>
          <w:lang w:eastAsia="ja-JP"/>
        </w:rPr>
        <w:t>omponent is described as “Monitoring both legacy DCI format(s) (0_0/1_0, 0_1/1_1 and/or 0_2/1_2) and DCI format 1_3, or both legacy DCI format(s) (0_0/1_0, 0_1/1_1 and/or 0_2/1_2) and DCI format 0_3, on the same scheduling cell”.</w:t>
      </w: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Proposal 4: Adopt FG49-3 f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or monitoring both legacy DCI and DCI 0_3/1_3 on the same scheduling cell.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The prerequisite of FG49-3 is “At least one of {49-1, [49-1a,] 49-1b} or at least one of {49-2, [49-2a,] 49-2b}”; and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The feature component is described as “Monitoring both legacy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DCI format(s) (0_0/1_0, 0_1/1_1 and/or 0_2/1_2) and DCI format 1_3, or both legacy DCI format(s) (0_0/1_0, 0_1/1_1 and/or 0_2/1_2) and DCI format 0_3, on the same scheduling cell”.</w:t>
      </w:r>
    </w:p>
    <w:p w:rsidR="00777C0C" w:rsidRDefault="00777C0C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777C0C" w:rsidRDefault="00777C0C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777C0C" w:rsidRDefault="00A86F9C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777C0C" w:rsidRDefault="00A86F9C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Proposa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l 1: Change the type granularity from “per UE” to “per BC” for FG49-4a/4b/4c/4d. </w:t>
      </w: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</w:t>
      </w:r>
      <w:r>
        <w:rPr>
          <w:rStyle w:val="apple-converted-space"/>
          <w:b/>
          <w:bCs/>
          <w:i/>
          <w:iCs/>
          <w:szCs w:val="20"/>
          <w:lang w:eastAsia="ja-JP"/>
        </w:rPr>
        <w:t>2</w:t>
      </w:r>
      <w:r>
        <w:rPr>
          <w:rStyle w:val="apple-converted-space"/>
          <w:b/>
          <w:bCs/>
          <w:i/>
          <w:iCs/>
          <w:szCs w:val="20"/>
          <w:lang w:eastAsia="ja-JP"/>
        </w:rPr>
        <w:t>: Adopt the note in FG49-1 and FG49-2 as “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[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Note: 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 xml:space="preserve">When scheduling cell is outside the set of cells, 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UE is not expected to be configured with another cell to monitor </w:t>
      </w:r>
      <w:r>
        <w:rPr>
          <w:rStyle w:val="apple-converted-space"/>
          <w:b/>
          <w:bCs/>
          <w:i/>
          <w:iCs/>
          <w:szCs w:val="20"/>
          <w:lang w:eastAsia="ja-JP"/>
        </w:rPr>
        <w:t>PDCCH candidates for the scheduling cell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]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”.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The same note is added to FG49-1b and FG49-2b. </w:t>
      </w: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3: Drop FG49-1a and FG49-2a. </w:t>
      </w:r>
    </w:p>
    <w:p w:rsidR="00777C0C" w:rsidRDefault="00A86F9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4: Adopt FG49-3 for monitoring both legacy DCI and DCI 0_3/1_3 on the same scheduling cell.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The prerequisite of FG49-3 is “At least one of {49-1, [49-1a,] 49-1b} or at least one of {49-2, [49-2a,] 49-2b}”; and </w:t>
      </w:r>
    </w:p>
    <w:p w:rsidR="00777C0C" w:rsidRDefault="00A86F9C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The feature component is described as “Monitoring both legacy DCI format(s) (0_0/1_0, 0_1/1_1 and/or 0_2/1_2) and DCI format 1_3, or both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legacy DCI format(s) (0_0/1_0, 0_1/1_1 and/or 0_2/1_2) and DCI format 0_3, on the same scheduling cell”.</w:t>
      </w:r>
    </w:p>
    <w:p w:rsidR="00777C0C" w:rsidRDefault="00777C0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</w:p>
    <w:p w:rsidR="00777C0C" w:rsidRDefault="00A86F9C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:rsidR="00777C0C" w:rsidRDefault="00A86F9C">
      <w:pPr>
        <w:numPr>
          <w:ilvl w:val="0"/>
          <w:numId w:val="12"/>
        </w:numPr>
        <w:spacing w:after="40"/>
        <w:ind w:hangingChars="210"/>
        <w:rPr>
          <w:rFonts w:eastAsia="SimSun"/>
          <w:color w:val="000000"/>
          <w:szCs w:val="20"/>
          <w:lang w:eastAsia="zh-CN"/>
        </w:rPr>
      </w:pPr>
      <w:r>
        <w:rPr>
          <w:rFonts w:eastAsia="SimSun"/>
          <w:color w:val="000000"/>
          <w:szCs w:val="20"/>
          <w:lang w:eastAsia="zh-CN"/>
        </w:rPr>
        <w:t>TS 38.822 v17.</w:t>
      </w:r>
      <w:r>
        <w:rPr>
          <w:rFonts w:eastAsia="SimSun"/>
          <w:color w:val="000000"/>
          <w:szCs w:val="20"/>
          <w:lang w:eastAsia="zh-CN"/>
        </w:rPr>
        <w:t>1</w:t>
      </w:r>
      <w:r>
        <w:rPr>
          <w:rFonts w:eastAsia="SimSun"/>
          <w:color w:val="000000"/>
          <w:szCs w:val="20"/>
          <w:lang w:eastAsia="zh-CN"/>
        </w:rPr>
        <w:t>.0,  NR User Equipment (UE) feature list (Release 17)</w:t>
      </w:r>
    </w:p>
    <w:p w:rsidR="00777C0C" w:rsidRDefault="00A86F9C">
      <w:pPr>
        <w:numPr>
          <w:ilvl w:val="0"/>
          <w:numId w:val="12"/>
        </w:numPr>
        <w:spacing w:after="40"/>
        <w:ind w:hangingChars="210"/>
        <w:rPr>
          <w:szCs w:val="20"/>
        </w:rPr>
      </w:pPr>
      <w:bookmarkStart w:id="2" w:name="_Ref2019110949"/>
      <w:r>
        <w:rPr>
          <w:rFonts w:eastAsia="SimSun"/>
          <w:color w:val="000000"/>
          <w:szCs w:val="20"/>
          <w:lang w:eastAsia="zh-CN"/>
        </w:rPr>
        <w:t xml:space="preserve">R1-2306381(R2-2306810), Further Guidelines on UE capability </w:t>
      </w:r>
      <w:r>
        <w:rPr>
          <w:rFonts w:eastAsia="SimSun"/>
          <w:color w:val="000000"/>
          <w:szCs w:val="20"/>
          <w:lang w:eastAsia="zh-CN"/>
        </w:rPr>
        <w:t>definitions, RAN2</w:t>
      </w:r>
      <w:bookmarkStart w:id="3" w:name="_Ref475805663"/>
      <w:bookmarkEnd w:id="2"/>
    </w:p>
    <w:bookmarkEnd w:id="3"/>
    <w:p w:rsidR="00777C0C" w:rsidRDefault="00A86F9C">
      <w:pPr>
        <w:numPr>
          <w:ilvl w:val="0"/>
          <w:numId w:val="12"/>
        </w:numPr>
        <w:spacing w:after="40"/>
        <w:ind w:hangingChars="210"/>
        <w:rPr>
          <w:szCs w:val="20"/>
        </w:rPr>
      </w:pPr>
      <w:r>
        <w:rPr>
          <w:szCs w:val="20"/>
        </w:rPr>
        <w:t>R1-2310635</w:t>
      </w:r>
      <w:r>
        <w:rPr>
          <w:szCs w:val="20"/>
        </w:rPr>
        <w:t>, Updated RAN1 UE features list for Rel-18 NR after RAN1#114</w:t>
      </w:r>
      <w:r>
        <w:rPr>
          <w:szCs w:val="20"/>
        </w:rPr>
        <w:t>bis</w:t>
      </w:r>
      <w:r>
        <w:rPr>
          <w:szCs w:val="20"/>
        </w:rPr>
        <w:t>, Moderators (AT&amp;T, NTT DOCOMO, INC.)</w:t>
      </w:r>
      <w:bookmarkStart w:id="4" w:name="_GoBack"/>
      <w:bookmarkEnd w:id="4"/>
    </w:p>
    <w:p w:rsidR="00777C0C" w:rsidRDefault="00777C0C" w:rsidP="00A86F9C">
      <w:pPr>
        <w:spacing w:after="40"/>
        <w:ind w:leftChars="-210" w:left="-420"/>
        <w:rPr>
          <w:szCs w:val="20"/>
        </w:rPr>
      </w:pPr>
    </w:p>
    <w:p w:rsidR="00777C0C" w:rsidRDefault="00777C0C">
      <w:pPr>
        <w:spacing w:after="40"/>
        <w:rPr>
          <w:rFonts w:eastAsia="SimSun"/>
          <w:color w:val="000000"/>
          <w:lang w:eastAsia="zh-CN"/>
        </w:rPr>
      </w:pPr>
    </w:p>
    <w:p w:rsidR="00777C0C" w:rsidRDefault="00777C0C">
      <w:pPr>
        <w:rPr>
          <w:rFonts w:eastAsia="SimSun"/>
          <w:color w:val="000000"/>
          <w:lang w:eastAsia="zh-CN"/>
        </w:rPr>
      </w:pPr>
    </w:p>
    <w:p w:rsidR="00777C0C" w:rsidRDefault="00777C0C">
      <w:pPr>
        <w:pStyle w:val="Heading1"/>
        <w:numPr>
          <w:ilvl w:val="0"/>
          <w:numId w:val="0"/>
        </w:numPr>
        <w:spacing w:before="0"/>
        <w:rPr>
          <w:color w:val="000000"/>
          <w:sz w:val="16"/>
          <w:szCs w:val="16"/>
        </w:rPr>
      </w:pPr>
    </w:p>
    <w:sectPr w:rsidR="00777C0C" w:rsidSect="00777C0C">
      <w:headerReference w:type="default" r:id="rId7"/>
      <w:footerReference w:type="even" r:id="rId8"/>
      <w:footerReference w:type="default" r:id="rId9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C0C" w:rsidRDefault="00777C0C" w:rsidP="00777C0C">
      <w:r>
        <w:separator/>
      </w:r>
    </w:p>
  </w:endnote>
  <w:endnote w:type="continuationSeparator" w:id="0">
    <w:p w:rsidR="00777C0C" w:rsidRDefault="00777C0C" w:rsidP="00777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C0C" w:rsidRDefault="00777C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86F9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7C0C" w:rsidRDefault="00777C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65860"/>
    </w:sdtPr>
    <w:sdtContent>
      <w:p w:rsidR="00777C0C" w:rsidRDefault="00777C0C">
        <w:pPr>
          <w:pStyle w:val="Footer"/>
          <w:jc w:val="center"/>
        </w:pPr>
        <w:r>
          <w:fldChar w:fldCharType="begin"/>
        </w:r>
        <w:r w:rsidR="00A86F9C">
          <w:instrText xml:space="preserve"> PAGE   \* MERGEFORMAT </w:instrText>
        </w:r>
        <w:r>
          <w:fldChar w:fldCharType="separate"/>
        </w:r>
        <w:r w:rsidR="00A86F9C">
          <w:rPr>
            <w:noProof/>
          </w:rPr>
          <w:t>1</w:t>
        </w:r>
        <w:r>
          <w:fldChar w:fldCharType="end"/>
        </w:r>
      </w:p>
    </w:sdtContent>
  </w:sdt>
  <w:p w:rsidR="00777C0C" w:rsidRDefault="00777C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C0C" w:rsidRDefault="00777C0C" w:rsidP="00777C0C">
      <w:r>
        <w:separator/>
      </w:r>
    </w:p>
  </w:footnote>
  <w:footnote w:type="continuationSeparator" w:id="0">
    <w:p w:rsidR="00777C0C" w:rsidRDefault="00777C0C" w:rsidP="00777C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C0C" w:rsidRDefault="00777C0C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3937B7A8"/>
    <w:multiLevelType w:val="singleLevel"/>
    <w:tmpl w:val="3937B7A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8FE6ABCD"/>
    <w:rsid w:val="B2B384D5"/>
    <w:rsid w:val="B7EFA944"/>
    <w:rsid w:val="BB7E8854"/>
    <w:rsid w:val="BEE5A6FA"/>
    <w:rsid w:val="BEFB80C5"/>
    <w:rsid w:val="D9BFBADC"/>
    <w:rsid w:val="DD76A23B"/>
    <w:rsid w:val="DEFF66CE"/>
    <w:rsid w:val="EA7D4A05"/>
    <w:rsid w:val="F30F01BA"/>
    <w:rsid w:val="FAF71006"/>
    <w:rsid w:val="FBCB4228"/>
    <w:rsid w:val="FBDF402C"/>
    <w:rsid w:val="FE578F67"/>
    <w:rsid w:val="FEFF0658"/>
    <w:rsid w:val="FFAF0D7A"/>
    <w:rsid w:val="FFB5B7DE"/>
    <w:rsid w:val="FFD7C3A3"/>
    <w:rsid w:val="FFDF0FD1"/>
    <w:rsid w:val="FFF79117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88F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71F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04B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18C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0C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9F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19E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6F9C"/>
    <w:rsid w:val="00A87070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BF7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1C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1A3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58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16FFDECD"/>
    <w:rsid w:val="39FE3DF7"/>
    <w:rsid w:val="3BDBB28C"/>
    <w:rsid w:val="3DFFB2FC"/>
    <w:rsid w:val="4FFDEB9A"/>
    <w:rsid w:val="57796434"/>
    <w:rsid w:val="5FBFAEB5"/>
    <w:rsid w:val="5FFF843D"/>
    <w:rsid w:val="6DDF9A58"/>
    <w:rsid w:val="6EEE9743"/>
    <w:rsid w:val="6FDD280C"/>
    <w:rsid w:val="775D5CDF"/>
    <w:rsid w:val="776DFDF9"/>
    <w:rsid w:val="77FDA5A9"/>
    <w:rsid w:val="78998E49"/>
    <w:rsid w:val="7ABFD46D"/>
    <w:rsid w:val="7BDBC597"/>
    <w:rsid w:val="7CF438D7"/>
    <w:rsid w:val="7FFF0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7C0C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777C0C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777C0C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777C0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777C0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77C0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777C0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777C0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777C0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777C0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777C0C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777C0C"/>
    <w:rPr>
      <w:sz w:val="18"/>
      <w:szCs w:val="18"/>
    </w:rPr>
  </w:style>
  <w:style w:type="paragraph" w:styleId="BodyText2">
    <w:name w:val="Body Text 2"/>
    <w:basedOn w:val="Normal"/>
    <w:qFormat/>
    <w:rsid w:val="00777C0C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777C0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777C0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777C0C"/>
  </w:style>
  <w:style w:type="paragraph" w:styleId="CommentSubject">
    <w:name w:val="annotation subject"/>
    <w:basedOn w:val="CommentText"/>
    <w:next w:val="CommentText"/>
    <w:semiHidden/>
    <w:qFormat/>
    <w:rsid w:val="00777C0C"/>
    <w:rPr>
      <w:b/>
      <w:bCs/>
    </w:rPr>
  </w:style>
  <w:style w:type="paragraph" w:styleId="DocumentMap">
    <w:name w:val="Document Map"/>
    <w:basedOn w:val="Normal"/>
    <w:semiHidden/>
    <w:qFormat/>
    <w:rsid w:val="00777C0C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777C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777C0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777C0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777C0C"/>
    <w:pPr>
      <w:ind w:left="283" w:hanging="283"/>
    </w:pPr>
  </w:style>
  <w:style w:type="paragraph" w:styleId="List2">
    <w:name w:val="List 2"/>
    <w:basedOn w:val="List"/>
    <w:qFormat/>
    <w:rsid w:val="00777C0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777C0C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777C0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777C0C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777C0C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777C0C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777C0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77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777C0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777C0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777C0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777C0C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777C0C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777C0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777C0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777C0C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777C0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777C0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777C0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777C0C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777C0C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777C0C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777C0C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777C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777C0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777C0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777C0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777C0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777C0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777C0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777C0C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777C0C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777C0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777C0C"/>
    <w:rPr>
      <w:b/>
    </w:rPr>
  </w:style>
  <w:style w:type="paragraph" w:customStyle="1" w:styleId="TAC">
    <w:name w:val="TAC"/>
    <w:basedOn w:val="Normal"/>
    <w:link w:val="TACChar"/>
    <w:qFormat/>
    <w:rsid w:val="00777C0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777C0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777C0C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777C0C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777C0C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777C0C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777C0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777C0C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777C0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777C0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777C0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777C0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777C0C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777C0C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777C0C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777C0C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777C0C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777C0C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777C0C"/>
    <w:pPr>
      <w:ind w:left="851" w:hanging="851"/>
    </w:pPr>
  </w:style>
  <w:style w:type="paragraph" w:customStyle="1" w:styleId="LGTdoc">
    <w:name w:val="LGTdoc_본문"/>
    <w:basedOn w:val="Normal"/>
    <w:qFormat/>
    <w:rsid w:val="00777C0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777C0C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77C0C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777C0C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77C0C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777C0C"/>
  </w:style>
  <w:style w:type="character" w:customStyle="1" w:styleId="apple-converted-space">
    <w:name w:val="apple-converted-space"/>
    <w:qFormat/>
    <w:rsid w:val="00777C0C"/>
  </w:style>
  <w:style w:type="character" w:customStyle="1" w:styleId="PlainTextChar">
    <w:name w:val="Plain Text Char"/>
    <w:link w:val="PlainText"/>
    <w:uiPriority w:val="99"/>
    <w:qFormat/>
    <w:rsid w:val="00777C0C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777C0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777C0C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777C0C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777C0C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777C0C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777C0C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777C0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777C0C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777C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777C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777C0C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777C0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777C0C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777C0C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777C0C"/>
  </w:style>
  <w:style w:type="character" w:customStyle="1" w:styleId="10">
    <w:name w:val="列表段落 字符1"/>
    <w:uiPriority w:val="34"/>
    <w:qFormat/>
    <w:locked/>
    <w:rsid w:val="00777C0C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777C0C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777C0C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77C0C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928</Words>
  <Characters>4792</Characters>
  <Application>Microsoft Office Word</Application>
  <DocSecurity>0</DocSecurity>
  <Lines>39</Lines>
  <Paragraphs>11</Paragraphs>
  <ScaleCrop>false</ScaleCrop>
  <Company>OPPO</Company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2282</cp:revision>
  <cp:lastPrinted>2007-08-26T14:45:00Z</cp:lastPrinted>
  <dcterms:created xsi:type="dcterms:W3CDTF">2021-10-26T19:40:00Z</dcterms:created>
  <dcterms:modified xsi:type="dcterms:W3CDTF">2023-10-31T17:18:00Z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1033-11.1.0.11704</vt:lpwstr>
  </property>
</Properties>
</file>